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17" w:rsidRDefault="004977D2">
      <w:pPr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 xml:space="preserve">Quanto Vale um Quilo de DEP Materna </w:t>
      </w:r>
      <w:r w:rsidR="00A119CD">
        <w:rPr>
          <w:b/>
        </w:rPr>
        <w:t>para Peso aos 210 Dias de Idade</w:t>
      </w:r>
    </w:p>
    <w:p w:rsidR="00146217" w:rsidRDefault="004977D2">
      <w:pPr>
        <w:jc w:val="both"/>
      </w:pPr>
      <w:r>
        <w:t xml:space="preserve">O produtor brasileiro ainda tem dificuldade no entendimento e interpretação da denominada DEP </w:t>
      </w:r>
      <w:proofErr w:type="gramStart"/>
      <w:r>
        <w:t>materna</w:t>
      </w:r>
      <w:proofErr w:type="gramEnd"/>
      <w:r>
        <w:t xml:space="preserve">. Esta dificuldade, por parte dos produtores, é generalizada em quase todo o mundo. Evidentemente é uma característica complexa, pois se manifesta nos netos e netas dos avós maternos, ou seja, o fenótipo peso ao desmame somente é medido como informação válida quando as filhas desmamam a sua progênie. </w:t>
      </w:r>
    </w:p>
    <w:p w:rsidR="00146217" w:rsidRDefault="004977D2">
      <w:pPr>
        <w:jc w:val="both"/>
      </w:pPr>
      <w:r>
        <w:t xml:space="preserve">Desde que o PMGRN-USP lançou as </w:t>
      </w:r>
      <w:proofErr w:type="spellStart"/>
      <w:r>
        <w:t>DEPs</w:t>
      </w:r>
      <w:proofErr w:type="spellEnd"/>
      <w:r>
        <w:t xml:space="preserve"> maternas para peso aos 210 dias, em 1995, em nosso primeiro sumário publicado, que começamos a explicar e mostrar a sua importância. Cabe destacar que a equipe ANCP sempre enfatizou que a DEP materna somente tem o seu primeiro fenótipo quando as filhas dos touros tem suas progênies desmamadas, o que ocorre ao redor dos </w:t>
      </w:r>
      <w:proofErr w:type="gramStart"/>
      <w:r>
        <w:t>7</w:t>
      </w:r>
      <w:proofErr w:type="gramEnd"/>
      <w:r>
        <w:t xml:space="preserve"> ou 8  anos de idade do reprodutor. Assim, os valores gerados, apesar da baixa acurácia e oriunda de pedigree, levou os produtores a associá-lo com o peso ao desmame da matriz ou do reprodutor. Na Figura 1 são apresentadas as relações entre as DEP Direta e Materna para expressão nos netos do avô materno.</w:t>
      </w:r>
    </w:p>
    <w:p w:rsidR="00146217" w:rsidRDefault="004977D2">
      <w:pPr>
        <w:jc w:val="both"/>
      </w:pPr>
      <w:r>
        <w:t xml:space="preserve">As </w:t>
      </w:r>
      <w:proofErr w:type="spellStart"/>
      <w:r>
        <w:t>DEPs</w:t>
      </w:r>
      <w:proofErr w:type="spellEnd"/>
      <w:r>
        <w:t xml:space="preserve"> maternas são expressas somente pelas fêmeas e</w:t>
      </w:r>
      <w:proofErr w:type="gramStart"/>
      <w:r>
        <w:t xml:space="preserve">  </w:t>
      </w:r>
      <w:proofErr w:type="gramEnd"/>
      <w:r>
        <w:t>indicam a capacidade genética desta matriz em propiciar um ambiente adequado ao desenvolvimento bezerro, para que ele possa expressar seu potencial genético ao máximo, conhecido como habilidade materna. Esta capacidade está relacionada a diversos fatores, tais como: facilidade de parto, habilidade de levantar o bezerro, tamanho dos tetos, grau de imunidade transmitida ao bezerro, resistência à dor na primeira amamentação e a qualidade e quantidade de leite produzido, entre outras características.</w:t>
      </w:r>
    </w:p>
    <w:p w:rsidR="00146217" w:rsidRDefault="004977D2">
      <w:pPr>
        <w:jc w:val="center"/>
      </w:pPr>
      <w:r>
        <w:rPr>
          <w:noProof/>
        </w:rPr>
        <w:drawing>
          <wp:inline distT="114300" distB="114300" distL="114300" distR="114300">
            <wp:extent cx="5402580" cy="25527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55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6217" w:rsidRDefault="004977D2">
      <w:pPr>
        <w:jc w:val="both"/>
      </w:pPr>
      <w:r>
        <w:t>Figura 1 -</w:t>
      </w:r>
      <w:proofErr w:type="gramStart"/>
      <w:r>
        <w:t xml:space="preserve">  </w:t>
      </w:r>
      <w:proofErr w:type="gramEnd"/>
      <w:r>
        <w:t>Relações entre as DEP Direta e Materna para expressão nos netos do avô materno.</w:t>
      </w:r>
    </w:p>
    <w:p w:rsidR="00146217" w:rsidRDefault="004977D2">
      <w:pPr>
        <w:jc w:val="both"/>
      </w:pPr>
      <w:r>
        <w:t xml:space="preserve">No caso das </w:t>
      </w:r>
      <w:proofErr w:type="spellStart"/>
      <w:r>
        <w:t>DEPs</w:t>
      </w:r>
      <w:proofErr w:type="spellEnd"/>
      <w:r>
        <w:t xml:space="preserve"> diretas, elas são expressas por machos e fêmeas, e tem seu primeiro fenótipo na informação do próprio animal, por exemplo, o peso </w:t>
      </w:r>
      <w:proofErr w:type="gramStart"/>
      <w:r>
        <w:t>à</w:t>
      </w:r>
      <w:proofErr w:type="gramEnd"/>
      <w:r>
        <w:t xml:space="preserve"> desmama. Para touros e matrizes, além da contribuição própria, há a contribuição de suas progênies, aumentando assim a acurácia da DEP. O tempo necessário para provar um touro para suas </w:t>
      </w:r>
      <w:proofErr w:type="spellStart"/>
      <w:r>
        <w:t>DEPs</w:t>
      </w:r>
      <w:proofErr w:type="spellEnd"/>
      <w:r>
        <w:t xml:space="preserve"> diretas, em média, é bem menor do que o tempo para se provar o mesmo animal para suas </w:t>
      </w:r>
      <w:proofErr w:type="spellStart"/>
      <w:r>
        <w:t>DEPs</w:t>
      </w:r>
      <w:proofErr w:type="spellEnd"/>
      <w:r>
        <w:t xml:space="preserve"> maternas.</w:t>
      </w:r>
    </w:p>
    <w:p w:rsidR="00146217" w:rsidRDefault="004977D2">
      <w:pPr>
        <w:jc w:val="both"/>
      </w:pPr>
      <w:r>
        <w:lastRenderedPageBreak/>
        <w:t xml:space="preserve">A fase de cria é fundamental para o desenvolvimento do animal, é fortemente ligada à habilidade da mãe em criar sua progênie, e </w:t>
      </w:r>
      <w:proofErr w:type="gramStart"/>
      <w:r>
        <w:t>tem ganho</w:t>
      </w:r>
      <w:proofErr w:type="gramEnd"/>
      <w:r>
        <w:t xml:space="preserve"> de cada vez mais importância, devido intensificação que tem ocorrido na pecuária de corte. Desta forma, </w:t>
      </w:r>
      <w:proofErr w:type="gramStart"/>
      <w:r>
        <w:t xml:space="preserve">as </w:t>
      </w:r>
      <w:proofErr w:type="spellStart"/>
      <w:r>
        <w:t>DEPs</w:t>
      </w:r>
      <w:proofErr w:type="spellEnd"/>
      <w:r>
        <w:t xml:space="preserve"> materna</w:t>
      </w:r>
      <w:proofErr w:type="gramEnd"/>
      <w:r>
        <w:t xml:space="preserve"> se tornaram um importante critério no processo de seleção. No entanto, é preciso ficar atento à baixa acurácia da mesma em animais jovens e em touros com poucos filhos e netos. Esta situação aumenta os riscos de erro no processo de seleção, o qual pode ser reduzido se o produtor fizer uso da genômica, minimizando os erros da seleção e aumentando o ganho genético do rebanho.</w:t>
      </w:r>
    </w:p>
    <w:p w:rsidR="00146217" w:rsidRDefault="004977D2">
      <w:pPr>
        <w:jc w:val="both"/>
        <w:rPr>
          <w:b/>
        </w:rPr>
      </w:pPr>
      <w:r>
        <w:rPr>
          <w:b/>
        </w:rPr>
        <w:t xml:space="preserve">O melhoramento genético é a ferramenta de maior retorno econômico para o produtor (William </w:t>
      </w:r>
      <w:proofErr w:type="spellStart"/>
      <w:r>
        <w:rPr>
          <w:b/>
        </w:rPr>
        <w:t>Koury</w:t>
      </w:r>
      <w:proofErr w:type="spellEnd"/>
      <w:r>
        <w:rPr>
          <w:b/>
        </w:rPr>
        <w:t xml:space="preserve"> - Nelore Jandaia). </w:t>
      </w:r>
    </w:p>
    <w:p w:rsidR="00146217" w:rsidRDefault="004977D2">
      <w:pPr>
        <w:jc w:val="both"/>
      </w:pPr>
      <w:r>
        <w:t xml:space="preserve">A DEP materna é um dos mais importantes critérios de seleção e deve ser almejado. Portanto, é importante quantificar qual o impacto econômico do uso de touros com baixa habilidade materna. </w:t>
      </w:r>
    </w:p>
    <w:p w:rsidR="00146217" w:rsidRDefault="004977D2">
      <w:pPr>
        <w:jc w:val="both"/>
        <w:rPr>
          <w:color w:val="FF0000"/>
        </w:rPr>
      </w:pPr>
      <w:r>
        <w:t xml:space="preserve">Assim, a ANCP, por meio de seu corpo de pesquisadores, realizou um estudo para estimar o valor de 1 kg de DEP materna e o seu impacto no retorno econômico da propriedade. O valor econômico foi obtido por meio da metodologia estatística de modelos lineares mistos, onde </w:t>
      </w:r>
      <w:proofErr w:type="gramStart"/>
      <w:r>
        <w:t>utilizou-se</w:t>
      </w:r>
      <w:proofErr w:type="gramEnd"/>
      <w:r>
        <w:t xml:space="preserve"> pesos aos 210 dias de idade (P210) de bezerros da base de dados da ANCP, juntamente com as </w:t>
      </w:r>
      <w:proofErr w:type="spellStart"/>
      <w:r>
        <w:t>DEPs</w:t>
      </w:r>
      <w:proofErr w:type="spellEnd"/>
      <w:r>
        <w:t xml:space="preserve"> maternas (MP210) de seus avôs maternos e com as </w:t>
      </w:r>
      <w:proofErr w:type="spellStart"/>
      <w:r>
        <w:t>DEPs</w:t>
      </w:r>
      <w:proofErr w:type="spellEnd"/>
      <w:r>
        <w:t xml:space="preserve"> diretas (DP210) dos touros, pais deste bezerros. Espera-se que a DEP materna reflita somente o efeito da habilidade maternal da mãe. Os resultados encontrados mostraram que </w:t>
      </w:r>
      <w:r>
        <w:rPr>
          <w:b/>
        </w:rPr>
        <w:t>1 kg de DEP materna para Peso aos 210 dias de idade equivale a 1,3 kg de peso vivo de bezerro aos 210 dias de idade.</w:t>
      </w:r>
      <w:r>
        <w:t xml:space="preserve"> Com o preço médio de R$6,00 por quilo (cotação </w:t>
      </w:r>
      <w:proofErr w:type="spellStart"/>
      <w:r>
        <w:t>Scot</w:t>
      </w:r>
      <w:proofErr w:type="spellEnd"/>
      <w:r>
        <w:t xml:space="preserve"> Consultoria, 08/03/2018), tem-se um retorno de R$ 7,80 por quilo de MP210, o qual pode ser adicionado ou subtraído ao cálculo do lucro do produtor.</w:t>
      </w:r>
    </w:p>
    <w:p w:rsidR="00146217" w:rsidRDefault="004977D2">
      <w:pPr>
        <w:spacing w:before="200"/>
        <w:jc w:val="both"/>
      </w:pPr>
      <w:r>
        <w:t>O imp</w:t>
      </w:r>
      <w:r w:rsidR="00CC518A">
        <w:t>acto na renda gerada pela venda</w:t>
      </w:r>
      <w:r>
        <w:t xml:space="preserve"> dos netos de um determinado Touro</w:t>
      </w:r>
      <w:proofErr w:type="gramStart"/>
      <w:r>
        <w:t>, varia</w:t>
      </w:r>
      <w:proofErr w:type="gramEnd"/>
      <w:r>
        <w:t xml:space="preserve"> conforme sua MP210  e pelo seu número de netos, conforme é apresentado na Tabela 1. A</w:t>
      </w:r>
      <w:proofErr w:type="gramStart"/>
      <w:r>
        <w:t xml:space="preserve">  </w:t>
      </w:r>
      <w:proofErr w:type="gramEnd"/>
      <w:r>
        <w:t xml:space="preserve">renda obtida pelo netos do </w:t>
      </w:r>
      <w:r>
        <w:rPr>
          <w:b/>
        </w:rPr>
        <w:t>Touro 1</w:t>
      </w:r>
      <w:r>
        <w:t xml:space="preserve"> é </w:t>
      </w:r>
      <w:r>
        <w:rPr>
          <w:b/>
        </w:rPr>
        <w:t>R$ 31.970,00</w:t>
      </w:r>
      <w:r>
        <w:t xml:space="preserve"> </w:t>
      </w:r>
      <w:r>
        <w:rPr>
          <w:b/>
        </w:rPr>
        <w:t>superior</w:t>
      </w:r>
      <w:r>
        <w:t xml:space="preserve"> aos netos do </w:t>
      </w:r>
      <w:r>
        <w:rPr>
          <w:b/>
        </w:rPr>
        <w:t>Touro 2</w:t>
      </w:r>
      <w:r>
        <w:t xml:space="preserve"> e </w:t>
      </w:r>
      <w:r>
        <w:rPr>
          <w:b/>
        </w:rPr>
        <w:t>R$ 97.000,00</w:t>
      </w:r>
      <w:r>
        <w:t xml:space="preserve"> </w:t>
      </w:r>
      <w:r>
        <w:rPr>
          <w:b/>
        </w:rPr>
        <w:t>superior</w:t>
      </w:r>
      <w:r>
        <w:t xml:space="preserve"> aos netos do </w:t>
      </w:r>
      <w:r>
        <w:rPr>
          <w:b/>
        </w:rPr>
        <w:t>Touro 3</w:t>
      </w:r>
      <w:r>
        <w:t xml:space="preserve">, da mesma forma, a renda obtida pelos netos do </w:t>
      </w:r>
      <w:r>
        <w:rPr>
          <w:b/>
        </w:rPr>
        <w:t>Touro 2</w:t>
      </w:r>
      <w:r>
        <w:t xml:space="preserve"> é </w:t>
      </w:r>
      <w:r>
        <w:rPr>
          <w:b/>
        </w:rPr>
        <w:t>R$ 65.030,00</w:t>
      </w:r>
      <w:r>
        <w:t xml:space="preserve"> superior aos netos do </w:t>
      </w:r>
      <w:r>
        <w:rPr>
          <w:b/>
        </w:rPr>
        <w:t>Touro 3</w:t>
      </w:r>
      <w:r>
        <w:t>.</w:t>
      </w:r>
    </w:p>
    <w:p w:rsidR="00146217" w:rsidRDefault="004977D2">
      <w:pPr>
        <w:spacing w:before="200"/>
        <w:jc w:val="both"/>
      </w:pPr>
      <w:r>
        <w:t xml:space="preserve">Tabela 1. Comparação do impacto econômico de Touros, com diferentes </w:t>
      </w:r>
      <w:proofErr w:type="spellStart"/>
      <w:proofErr w:type="gramStart"/>
      <w:r>
        <w:t>TOPs</w:t>
      </w:r>
      <w:proofErr w:type="spellEnd"/>
      <w:proofErr w:type="gramEnd"/>
      <w:r>
        <w:t xml:space="preserve"> para MP210.</w:t>
      </w:r>
    </w:p>
    <w:tbl>
      <w:tblPr>
        <w:tblStyle w:val="a"/>
        <w:tblW w:w="85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70"/>
        <w:gridCol w:w="630"/>
        <w:gridCol w:w="720"/>
        <w:gridCol w:w="615"/>
        <w:gridCol w:w="735"/>
        <w:gridCol w:w="1320"/>
        <w:gridCol w:w="1335"/>
        <w:gridCol w:w="855"/>
        <w:gridCol w:w="1500"/>
      </w:tblGrid>
      <w:tr w:rsidR="00146217">
        <w:trPr>
          <w:trHeight w:val="300"/>
          <w:jc w:val="center"/>
        </w:trPr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Touro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GEN</w:t>
            </w:r>
          </w:p>
        </w:tc>
        <w:tc>
          <w:tcPr>
            <w:tcW w:w="20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MP210 (kg)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Equivalente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Retorno R$/Neto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Retorno Total</w:t>
            </w:r>
          </w:p>
        </w:tc>
      </w:tr>
      <w:tr w:rsidR="00146217">
        <w:trPr>
          <w:trHeight w:val="300"/>
          <w:jc w:val="center"/>
        </w:trPr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217" w:rsidRDefault="00146217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217" w:rsidRDefault="00146217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DEP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ACC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P210 (kg)</w:t>
            </w:r>
          </w:p>
        </w:tc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217" w:rsidRDefault="00146217">
            <w:pPr>
              <w:spacing w:after="0" w:line="240" w:lineRule="auto"/>
              <w:rPr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NETOS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(R$)</w:t>
            </w:r>
          </w:p>
        </w:tc>
      </w:tr>
      <w:tr w:rsidR="00146217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Touro 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146217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8,15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0.1%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10,47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R$ 62,79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R$ 62.790,00</w:t>
            </w:r>
          </w:p>
        </w:tc>
      </w:tr>
      <w:tr w:rsidR="00146217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Touro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6217" w:rsidRDefault="00146217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4,00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5,14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R$ 30,82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R$ 30.820,00</w:t>
            </w:r>
          </w:p>
        </w:tc>
      </w:tr>
      <w:tr w:rsidR="00146217">
        <w:trPr>
          <w:trHeight w:val="300"/>
          <w:jc w:val="center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Touro </w:t>
            </w: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-4,44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rPr>
                <w:color w:val="FF0000"/>
              </w:rPr>
              <w:t>-5,70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rPr>
                <w:color w:val="FF0000"/>
              </w:rPr>
              <w:t>-R$ 34,21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</w:pPr>
            <w: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6217" w:rsidRDefault="004977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-R$ 34.210,00</w:t>
            </w:r>
          </w:p>
        </w:tc>
      </w:tr>
    </w:tbl>
    <w:p w:rsidR="00146217" w:rsidRDefault="00146217">
      <w:pPr>
        <w:jc w:val="both"/>
        <w:rPr>
          <w:color w:val="FF0000"/>
        </w:rPr>
      </w:pPr>
    </w:p>
    <w:p w:rsidR="00146217" w:rsidRDefault="004977D2">
      <w:pPr>
        <w:jc w:val="both"/>
        <w:rPr>
          <w:b/>
        </w:rPr>
      </w:pPr>
      <w:r>
        <w:rPr>
          <w:b/>
        </w:rPr>
        <w:t>Conclusões</w:t>
      </w:r>
    </w:p>
    <w:p w:rsidR="00146217" w:rsidRDefault="004977D2">
      <w:pPr>
        <w:jc w:val="both"/>
      </w:pPr>
      <w:r>
        <w:t>A utilização de touros com boa aptidão materna contribuiu significativamente para uma melhor lucratividade do rebanho, gerando maior renda para o produtor, pois baixa qualidade de MP210, impacta por toda vida produtiva do animal.</w:t>
      </w:r>
    </w:p>
    <w:p w:rsidR="00146217" w:rsidRDefault="004977D2">
      <w:pPr>
        <w:jc w:val="both"/>
      </w:pPr>
      <w:r>
        <w:lastRenderedPageBreak/>
        <w:t xml:space="preserve">A seleção conjunta das </w:t>
      </w:r>
      <w:proofErr w:type="spellStart"/>
      <w:r>
        <w:t>DEPs</w:t>
      </w:r>
      <w:proofErr w:type="spellEnd"/>
      <w:r>
        <w:t xml:space="preserve"> direta e materna é fundamental para que se obtenha a expressão na totalidade do potencial genético dos animais e consequentemente maior produtividade e lucratividade do rebanho, o que gera maior renda ao produtor.</w:t>
      </w:r>
    </w:p>
    <w:p w:rsidR="00146217" w:rsidRDefault="004977D2">
      <w:pPr>
        <w:jc w:val="both"/>
      </w:pPr>
      <w:r>
        <w:t xml:space="preserve">Touros de </w:t>
      </w:r>
      <w:r w:rsidR="007E29DE">
        <w:t>baixa acurácia para DEP materna</w:t>
      </w:r>
      <w:r>
        <w:t xml:space="preserve"> devem ser utilizados com atenção, pois podem causar prejuízo ao produtor, a</w:t>
      </w:r>
      <w:r w:rsidR="007E29DE">
        <w:t xml:space="preserve">lém de comprometer a qualidade </w:t>
      </w:r>
      <w:r w:rsidR="006505E5">
        <w:t>genética</w:t>
      </w:r>
      <w:r>
        <w:t xml:space="preserve"> das fêmeas do rebanho.</w:t>
      </w:r>
    </w:p>
    <w:p w:rsidR="00146217" w:rsidRDefault="004977D2">
      <w:pPr>
        <w:jc w:val="both"/>
      </w:pPr>
      <w:r>
        <w:t xml:space="preserve">No presente estudo </w:t>
      </w:r>
      <w:bookmarkStart w:id="1" w:name="_GoBack"/>
      <w:bookmarkEnd w:id="1"/>
      <w:r>
        <w:t xml:space="preserve">houve uma diferença de R$ 97.000,00 com relação às progênies dos touros </w:t>
      </w:r>
      <w:proofErr w:type="gramStart"/>
      <w:r>
        <w:t>1</w:t>
      </w:r>
      <w:proofErr w:type="gramEnd"/>
      <w:r w:rsidR="00F33DCB">
        <w:t xml:space="preserve"> </w:t>
      </w:r>
      <w:r>
        <w:t xml:space="preserve">(positivo para MP210) e 3(negativo para MP210), em 1.000 progênies. </w:t>
      </w:r>
    </w:p>
    <w:p w:rsidR="00146217" w:rsidRDefault="004977D2">
      <w:pPr>
        <w:jc w:val="both"/>
      </w:pPr>
      <w:r>
        <w:t xml:space="preserve">As </w:t>
      </w:r>
      <w:proofErr w:type="spellStart"/>
      <w:r>
        <w:t>DE</w:t>
      </w:r>
      <w:r w:rsidR="00942126">
        <w:t>Ps</w:t>
      </w:r>
      <w:proofErr w:type="spellEnd"/>
      <w:r w:rsidR="00942126">
        <w:t xml:space="preserve"> diretas dos pais dos bezerros</w:t>
      </w:r>
      <w:r>
        <w:t xml:space="preserve"> não devem ser negligenciadas, pois mesmo com ótimas </w:t>
      </w:r>
      <w:proofErr w:type="spellStart"/>
      <w:r>
        <w:t>DEPs</w:t>
      </w:r>
      <w:proofErr w:type="spellEnd"/>
      <w:r>
        <w:t xml:space="preserve"> maternas, a vaca não conseguirá suprir a falta de potencial para desenvolvimento do bezerro.</w:t>
      </w:r>
    </w:p>
    <w:p w:rsidR="00146217" w:rsidRDefault="00146217">
      <w:pPr>
        <w:jc w:val="both"/>
        <w:rPr>
          <w:b/>
        </w:rPr>
      </w:pPr>
    </w:p>
    <w:p w:rsidR="00146217" w:rsidRDefault="004977D2">
      <w:pPr>
        <w:jc w:val="both"/>
        <w:rPr>
          <w:b/>
          <w:color w:val="0000FF"/>
        </w:rPr>
      </w:pPr>
      <w:r>
        <w:rPr>
          <w:b/>
          <w:color w:val="0000FF"/>
        </w:rPr>
        <w:t xml:space="preserve">Autores: </w:t>
      </w:r>
      <w:proofErr w:type="spellStart"/>
      <w:r>
        <w:rPr>
          <w:b/>
          <w:color w:val="0000FF"/>
        </w:rPr>
        <w:t>Raysildo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Lôbo</w:t>
      </w:r>
      <w:proofErr w:type="spellEnd"/>
      <w:r>
        <w:rPr>
          <w:b/>
          <w:color w:val="0000FF"/>
        </w:rPr>
        <w:t xml:space="preserve"> (USP,</w:t>
      </w:r>
      <w:r w:rsidR="00942126">
        <w:rPr>
          <w:b/>
          <w:color w:val="0000FF"/>
        </w:rPr>
        <w:t xml:space="preserve"> </w:t>
      </w:r>
      <w:r>
        <w:rPr>
          <w:b/>
          <w:color w:val="0000FF"/>
        </w:rPr>
        <w:t xml:space="preserve">ANCP), Luís Gustavo Figueiredo (ANCP) Letícia de Castro (ANCP), Fernando </w:t>
      </w:r>
      <w:proofErr w:type="spellStart"/>
      <w:r>
        <w:rPr>
          <w:b/>
          <w:color w:val="0000FF"/>
        </w:rPr>
        <w:t>Baldi</w:t>
      </w:r>
      <w:proofErr w:type="spellEnd"/>
      <w:r>
        <w:rPr>
          <w:b/>
          <w:color w:val="0000FF"/>
        </w:rPr>
        <w:t xml:space="preserve"> (UNESP-Jaboticabal).</w:t>
      </w:r>
    </w:p>
    <w:p w:rsidR="00146217" w:rsidRDefault="00146217">
      <w:pPr>
        <w:jc w:val="both"/>
        <w:rPr>
          <w:b/>
          <w:color w:val="0000FF"/>
        </w:rPr>
      </w:pPr>
    </w:p>
    <w:p w:rsidR="00146217" w:rsidRDefault="00146217">
      <w:pPr>
        <w:rPr>
          <w:b/>
        </w:rPr>
      </w:pPr>
      <w:bookmarkStart w:id="2" w:name="_kx2o0pw8ej9f" w:colFirst="0" w:colLast="0"/>
      <w:bookmarkEnd w:id="2"/>
    </w:p>
    <w:p w:rsidR="00146217" w:rsidRDefault="00146217"/>
    <w:sectPr w:rsidR="0014621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46217"/>
    <w:rsid w:val="00146217"/>
    <w:rsid w:val="004977D2"/>
    <w:rsid w:val="006505E5"/>
    <w:rsid w:val="006C4E69"/>
    <w:rsid w:val="007E29DE"/>
    <w:rsid w:val="00942126"/>
    <w:rsid w:val="00A119CD"/>
    <w:rsid w:val="00CC518A"/>
    <w:rsid w:val="00F3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935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Castro</dc:creator>
  <cp:lastModifiedBy>ANCP</cp:lastModifiedBy>
  <cp:revision>9</cp:revision>
  <cp:lastPrinted>2018-06-12T15:06:00Z</cp:lastPrinted>
  <dcterms:created xsi:type="dcterms:W3CDTF">2018-06-12T14:46:00Z</dcterms:created>
  <dcterms:modified xsi:type="dcterms:W3CDTF">2018-07-02T18:21:00Z</dcterms:modified>
</cp:coreProperties>
</file>